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ascii="黑体" w:hAnsi="黑体" w:eastAsia="黑体" w:cs="黑体"/>
          <w:b w:val="0"/>
          <w:bCs/>
          <w:sz w:val="36"/>
          <w:szCs w:val="21"/>
        </w:rPr>
      </w:pPr>
      <w:bookmarkStart w:id="0" w:name="_Toc4319"/>
      <w:r>
        <w:rPr>
          <w:rFonts w:hint="eastAsia" w:ascii="方正小标宋简体" w:hAnsi="方正小标宋简体" w:eastAsia="方正小标宋简体" w:cs="方正小标宋简体"/>
          <w:b w:val="0"/>
          <w:bCs/>
          <w:highlight w:val="none"/>
        </w:rPr>
        <w:t>学术学位博士研究生论文答辩</w:t>
      </w:r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highlight w:val="none"/>
        </w:rPr>
        <w:t>工作要求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1．博士答辩委员会由5-7位专家组成，可聘请本学科、专业和相关学科、专业的博士生导师或教授（或相当专业技术职务的专家）担任。指导教师和论文评阅人均可参加答辩委员会，并有表决权。答辩委员会成员中至少应有两名校外专家，博士生导师人数需占答辩委员的三分之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val="en-US" w:eastAsia="zh-CN"/>
        </w:rPr>
        <w:t>及</w:t>
      </w:r>
      <w:r>
        <w:rPr>
          <w:rFonts w:hint="default" w:ascii="Times New Roman" w:hAnsi="Times New Roman" w:eastAsia="仿宋" w:cs="Times New Roman"/>
          <w:sz w:val="32"/>
          <w:szCs w:val="32"/>
        </w:rPr>
        <w:t>以上。答辩委员会主席必须由校外博士生导师担任，学位申请人的导师、合作导师、企业（行业）导师不得担任答辩委员会主席。答辩委员会设秘书一人，</w:t>
      </w:r>
      <w:r>
        <w:rPr>
          <w:rFonts w:hint="default" w:ascii="Times New Roman" w:hAnsi="Times New Roman" w:eastAsia="仿宋" w:cs="Times New Roman"/>
          <w:b/>
          <w:bCs/>
          <w:sz w:val="32"/>
          <w:szCs w:val="32"/>
        </w:rPr>
        <w:t>由副高级及以上职称或具有博士学位的教师担任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协助组织答辩工作的具体事宜。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答辩委员会成员名单由所在学位评定分委员会批准。没有按照规定组成答辩委员会的，答辩结果无效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．论文答辩除保密外，均公开举行</w:t>
      </w:r>
      <w:r>
        <w:rPr>
          <w:rFonts w:hint="eastAsia" w:ascii="Times New Roman" w:hAnsi="Times New Roman" w:eastAsia="仿宋" w:cs="Times New Roman"/>
          <w:sz w:val="32"/>
          <w:szCs w:val="32"/>
          <w:highlight w:val="none"/>
          <w:lang w:eastAsia="zh-CN"/>
        </w:rPr>
        <w:t>，</w:t>
      </w:r>
      <w:r>
        <w:rPr>
          <w:rFonts w:ascii="仿宋" w:hAnsi="仿宋" w:eastAsia="仿宋"/>
          <w:sz w:val="32"/>
          <w:szCs w:val="32"/>
          <w:highlight w:val="none"/>
        </w:rPr>
        <w:t>允许并欢迎相关教师和研究生旁听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。答辩人员、论文题目、时间、地点、程</w:t>
      </w:r>
      <w:r>
        <w:rPr>
          <w:rFonts w:hint="eastAsia" w:ascii="仿宋" w:hAnsi="仿宋" w:eastAsia="仿宋"/>
          <w:sz w:val="32"/>
          <w:szCs w:val="32"/>
          <w:highlight w:val="none"/>
        </w:rPr>
        <w:t>序安排及答辩委员会组成等信息要提前在学院网站向社会公开。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3．论</w:t>
      </w:r>
      <w:r>
        <w:rPr>
          <w:rFonts w:ascii="仿宋" w:hAnsi="仿宋" w:eastAsia="仿宋"/>
          <w:sz w:val="32"/>
          <w:szCs w:val="32"/>
        </w:rPr>
        <w:t>文</w:t>
      </w:r>
      <w:bookmarkStart w:id="3" w:name="_GoBack"/>
      <w:bookmarkEnd w:id="3"/>
      <w:r>
        <w:rPr>
          <w:rFonts w:ascii="仿宋" w:hAnsi="仿宋" w:eastAsia="仿宋"/>
          <w:sz w:val="32"/>
          <w:szCs w:val="32"/>
        </w:rPr>
        <w:t>答辩委员会发扬学术民主，严格把关，以不记名投票方式，三分之二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及以上</w:t>
      </w:r>
      <w:r>
        <w:rPr>
          <w:rFonts w:ascii="仿宋" w:hAnsi="仿宋" w:eastAsia="仿宋"/>
          <w:sz w:val="32"/>
          <w:szCs w:val="32"/>
        </w:rPr>
        <w:t>委员赞成方为通过答辩。答辩决议应按规定格式书写，经答辩委员会主席签字后，报学位评定分委员会。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出席论文答辩会的委员不够规定的最低人数时，论文答辩应改期进行；表决时，未出席委员不得会外或委托他人或以通讯的方式投票。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b w:val="0"/>
          <w:bCs w:val="0"/>
          <w:sz w:val="32"/>
          <w:szCs w:val="32"/>
          <w:highlight w:val="none"/>
        </w:rPr>
        <w:sectPr>
          <w:footerReference r:id="rId3" w:type="default"/>
          <w:pgSz w:w="11906" w:h="16838"/>
          <w:pgMar w:top="1701" w:right="1474" w:bottom="1701" w:left="1474" w:header="851" w:footer="992" w:gutter="0"/>
          <w:pgNumType w:start="1"/>
          <w:cols w:space="0" w:num="1"/>
          <w:rtlGutter w:val="0"/>
          <w:docGrid w:type="lines" w:linePitch="585" w:charSpace="0"/>
        </w:sect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t>4．论文答辩应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highlight w:val="none"/>
          <w:lang w:val="en-US" w:eastAsia="zh-CN"/>
        </w:rPr>
        <w:t>采取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highlight w:val="none"/>
        </w:rPr>
        <w:t>线下形式，在南开大学校内进行。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36"/>
          <w:szCs w:val="21"/>
        </w:rPr>
      </w:pPr>
      <w:bookmarkStart w:id="1" w:name="_Toc13799"/>
      <w:r>
        <w:rPr>
          <w:rFonts w:hint="default" w:ascii="Times New Roman" w:hAnsi="Times New Roman" w:eastAsia="方正小标宋简体" w:cs="Times New Roman"/>
          <w:b w:val="0"/>
          <w:bCs/>
          <w:highlight w:val="none"/>
        </w:rPr>
        <w:t>南开大学博士研究生论文答辩程序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仿宋" w:cs="Times New Roman"/>
          <w:color w:val="000000"/>
          <w:kern w:val="0"/>
          <w:sz w:val="28"/>
          <w:szCs w:val="28"/>
        </w:rPr>
        <w:t>为有效促进我校博士生毕业（学位）论文质量的提高，确保博士生毕业（学位）论文答辩工作顺利进行，现对博士生毕业（学位）论文答辩会程序做进一步规范，答辩会具体程序如下：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1．答辩委员会主席宣布答辩会开始，并介绍答辩委员会委员、答辩秘书、答辩程序和规则。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2．由导师（导师未参加答辩的可以由答辩秘书）介绍答辩人的基本情况，包括学习经历、论文题目、课程学习与考试成绩、科学研究、学术活动及撰写论文等。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3．由答辩人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汇报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毕业（学位）论文的主要内容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并回答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答辩委员会委员和与会者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提问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答辩时间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highlight w:val="none"/>
          <w:lang w:val="en-US" w:eastAsia="zh-CN"/>
        </w:rPr>
        <w:t>不少于</w:t>
      </w:r>
      <w:r>
        <w:rPr>
          <w:rFonts w:hint="eastAsia" w:ascii="Times New Roman" w:hAnsi="Times New Roman" w:eastAsia="仿宋" w:cs="Times New Roman"/>
          <w:b/>
          <w:bCs/>
          <w:sz w:val="28"/>
          <w:szCs w:val="28"/>
          <w:highlight w:val="none"/>
          <w:lang w:val="en-US" w:eastAsia="zh-CN"/>
        </w:rPr>
        <w:t>45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  <w:highlight w:val="none"/>
          <w:lang w:val="en-US" w:eastAsia="zh-CN"/>
        </w:rPr>
        <w:t>分钟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sz w:val="28"/>
          <w:szCs w:val="28"/>
        </w:rPr>
        <w:t>．答辩会暂时休会（答辩人和与会者退场），答辩委员会举行内部工作会议：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（1）答辩委员会秘书宣读汇总的同行专家对毕业（学位）论文的评阅意见；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（2）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答辩委员会对毕业（学位）论文的学术水平和答辩情况进行评议；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（3）答辩委员会进行充分讨论，采取无记名投票方式表决，对是否通过答辩和授予博士学位做出决议，同意票数达全体委员的三分之二</w:t>
      </w:r>
      <w:r>
        <w:rPr>
          <w:rFonts w:hint="eastAsia" w:ascii="Times New Roman" w:hAnsi="Times New Roman" w:eastAsia="仿宋" w:cs="Times New Roman"/>
          <w:kern w:val="0"/>
          <w:sz w:val="28"/>
          <w:szCs w:val="28"/>
          <w:highlight w:val="none"/>
          <w:lang w:val="en-US" w:eastAsia="zh-CN"/>
        </w:rPr>
        <w:t>及以上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为通过；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（4）答辩委员会委员签名。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．答辩会复会，答辩人和与会者进场，答辩委员会主席宣布表决结果和宣读决议书。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  <w:sectPr>
          <w:pgSz w:w="11906" w:h="16838"/>
          <w:pgMar w:top="1701" w:right="1247" w:bottom="1701" w:left="1247" w:header="851" w:footer="992" w:gutter="0"/>
          <w:pgNumType w:start="1"/>
          <w:cols w:space="0" w:num="1"/>
          <w:rtlGutter w:val="0"/>
          <w:docGrid w:type="lines" w:linePitch="585" w:charSpace="0"/>
        </w:sectPr>
      </w:pPr>
      <w:r>
        <w:rPr>
          <w:rFonts w:hint="eastAsia" w:ascii="Times New Roman" w:hAnsi="Times New Roman" w:eastAsia="仿宋" w:cs="Times New Roman"/>
          <w:kern w:val="0"/>
          <w:sz w:val="28"/>
          <w:szCs w:val="28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kern w:val="0"/>
          <w:sz w:val="28"/>
          <w:szCs w:val="28"/>
        </w:rPr>
        <w:t>．</w:t>
      </w:r>
      <w:r>
        <w:rPr>
          <w:rFonts w:hint="default" w:ascii="Times New Roman" w:hAnsi="Times New Roman" w:eastAsia="仿宋" w:cs="Times New Roman"/>
          <w:sz w:val="28"/>
          <w:szCs w:val="28"/>
        </w:rPr>
        <w:t>答辩委员会主席宣布答辩会结束。</w:t>
      </w:r>
    </w:p>
    <w:p>
      <w:pPr>
        <w:pStyle w:val="2"/>
        <w:numPr>
          <w:ilvl w:val="0"/>
          <w:numId w:val="0"/>
        </w:numPr>
        <w:spacing w:before="0" w:after="468" w:afterLines="150" w:line="240" w:lineRule="auto"/>
        <w:jc w:val="center"/>
        <w:rPr>
          <w:rFonts w:ascii="黑体" w:eastAsia="黑体"/>
          <w:b w:val="0"/>
          <w:bCs/>
          <w:sz w:val="36"/>
          <w:szCs w:val="36"/>
        </w:rPr>
      </w:pPr>
      <w:bookmarkStart w:id="2" w:name="_Toc14635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关于规范博士毕业（学位）论文答辩委员会决议书写内容与体例的要求</w:t>
      </w:r>
      <w:bookmarkEnd w:id="2"/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为规范博士毕业（学位）论文答辩工作，现将博士毕业（学位）论文答辩委员会决议书写内容与体例要求说明如下，请各单位参照执行：</w:t>
      </w:r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一、应对博士毕业（学位）选题是否得当，以及选题的理论和现实意义做出确切评价；</w:t>
      </w:r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二、应对答辩人是否充分掌握其研究领域的国内外相关文献，以及论文对相关前沿学术思想、观点的归纳和梳理工作做出准确的评价；</w:t>
      </w:r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三、应说明论文的主要创新内容和方法(一般不超过</w:t>
      </w:r>
      <w:r>
        <w:rPr>
          <w:rFonts w:ascii="Times New Roman" w:hAnsi="Times New Roman" w:eastAsia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点)，并且明示其创新观点和结论；</w:t>
      </w:r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四、应对论文的结构、逻辑、行文，及对数据资料的占有和写作是否规范做出评价，并说明其是否达到博士毕业（学位）论文应有的学术水平；</w:t>
      </w:r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五、必须指出论文的缺陷与不足，或提出继续深入研究的努力方向；</w:t>
      </w:r>
    </w:p>
    <w:p>
      <w:pPr>
        <w:spacing w:line="6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六、结尾部分的体例</w:t>
      </w:r>
    </w:p>
    <w:p>
      <w:pPr>
        <w:spacing w:line="600" w:lineRule="exact"/>
        <w:ind w:left="420" w:leftChars="200" w:right="325" w:rightChars="155" w:firstLine="560" w:firstLineChars="2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highlight w:val="none"/>
        </w:rPr>
        <w:t>答辩人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汇报了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毕业（学位）论文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主要内容，并回答答辩委员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的提问。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答辩委员会（共____人），经评议和无记名投票表决，一致(或____票同意、____票不同意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____票弃权)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</w:rPr>
        <w:t>通过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不通过</w:t>
      </w:r>
      <w:r>
        <w:rPr>
          <w:rFonts w:hint="eastAsia" w:ascii="楷体" w:hAnsi="楷体" w:eastAsia="楷体" w:cs="楷体"/>
          <w:sz w:val="28"/>
          <w:szCs w:val="28"/>
        </w:rPr>
        <w:t>该论文答辩，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并建议</w:t>
      </w:r>
      <w:r>
        <w:rPr>
          <w:rFonts w:hint="eastAsia" w:ascii="楷体" w:hAnsi="楷体" w:eastAsia="楷体" w:cs="楷体"/>
          <w:sz w:val="28"/>
          <w:szCs w:val="28"/>
        </w:rPr>
        <w:t>校学位评定委员会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：</w:t>
      </w:r>
    </w:p>
    <w:p>
      <w:pPr>
        <w:spacing w:line="600" w:lineRule="exact"/>
        <w:ind w:left="420" w:leftChars="200" w:right="325" w:rightChars="155" w:firstLine="560" w:firstLineChars="200"/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highlight w:val="none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当次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授予其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_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_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___学博士学位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；</w:t>
      </w:r>
    </w:p>
    <w:p>
      <w:pPr>
        <w:spacing w:line="600" w:lineRule="exact"/>
        <w:ind w:left="420" w:leftChars="200" w:right="325" w:rightChars="155" w:firstLine="560" w:firstLineChars="200"/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</w:pPr>
      <w:r>
        <w:rPr>
          <w:rFonts w:hint="default" w:ascii="楷体" w:hAnsi="楷体" w:eastAsia="楷体" w:cs="楷体"/>
          <w:sz w:val="28"/>
          <w:szCs w:val="28"/>
          <w:highlight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待答辩人达到所在分会要求后，授予其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___</w:t>
      </w:r>
      <w:r>
        <w:rPr>
          <w:rFonts w:hint="eastAsia" w:ascii="楷体" w:hAnsi="楷体" w:eastAsia="楷体" w:cs="楷体"/>
          <w:sz w:val="28"/>
          <w:szCs w:val="28"/>
          <w:highlight w:val="none"/>
          <w:lang w:val="en-US" w:eastAsia="zh-CN"/>
        </w:rPr>
        <w:t>__</w:t>
      </w:r>
      <w:r>
        <w:rPr>
          <w:rFonts w:hint="eastAsia" w:ascii="楷体" w:hAnsi="楷体" w:eastAsia="楷体" w:cs="楷体"/>
          <w:sz w:val="28"/>
          <w:szCs w:val="28"/>
          <w:highlight w:val="none"/>
        </w:rPr>
        <w:t>_学博士学位</w:t>
      </w:r>
      <w:r>
        <w:rPr>
          <w:rFonts w:hint="eastAsia" w:ascii="楷体" w:hAnsi="楷体" w:eastAsia="楷体" w:cs="楷体"/>
          <w:sz w:val="28"/>
          <w:szCs w:val="28"/>
          <w:highlight w:val="none"/>
          <w:lang w:eastAsia="zh-CN"/>
        </w:rPr>
        <w:t>。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DDA84D9-EEE0-470C-B880-487A015AD3AA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A7DBD7D-2441-41FC-BA35-E676238DC70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9E6F572D-9CDD-4231-B88D-448E764496C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A0DF7E1-107B-4643-8812-C772EB974CA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DF34225-AF32-4926-AD4F-A66DE90EB68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OqXm5zwAAAAUBAAAPAAAAAAAAAAEAIAAAACIAAABkcnMvZG93bnJldi54bWxQSwECFAAU&#10;AAAACACHTuJAaEKcWsEBAACNAwAADgAAAAAAAAABACAAAAAeAQAAZHJzL2Uyb0RvYy54bWxQSwUG&#10;AAAAAAYABgBZAQAAU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</w:rPr>
                      <w:t>1</w:t>
                    </w:r>
                    <w:r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D8AA04"/>
    <w:multiLevelType w:val="multilevel"/>
    <w:tmpl w:val="99D8AA04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29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602D34"/>
    <w:rsid w:val="00212811"/>
    <w:rsid w:val="002A096D"/>
    <w:rsid w:val="0040020B"/>
    <w:rsid w:val="004C6017"/>
    <w:rsid w:val="00602D34"/>
    <w:rsid w:val="00625AD0"/>
    <w:rsid w:val="00632CC6"/>
    <w:rsid w:val="008B178E"/>
    <w:rsid w:val="008F6741"/>
    <w:rsid w:val="0094130F"/>
    <w:rsid w:val="00AA5C53"/>
    <w:rsid w:val="00B07C26"/>
    <w:rsid w:val="00BA1D7F"/>
    <w:rsid w:val="00BE2702"/>
    <w:rsid w:val="00C4563B"/>
    <w:rsid w:val="00C96631"/>
    <w:rsid w:val="00D72801"/>
    <w:rsid w:val="00F04532"/>
    <w:rsid w:val="020236B3"/>
    <w:rsid w:val="02391BCC"/>
    <w:rsid w:val="042A45E2"/>
    <w:rsid w:val="07612C2A"/>
    <w:rsid w:val="07632E46"/>
    <w:rsid w:val="0B4E61E8"/>
    <w:rsid w:val="0D8E229F"/>
    <w:rsid w:val="15307ACC"/>
    <w:rsid w:val="15C03212"/>
    <w:rsid w:val="17174F9A"/>
    <w:rsid w:val="1BDA09EA"/>
    <w:rsid w:val="1C164C6B"/>
    <w:rsid w:val="1D077978"/>
    <w:rsid w:val="209B0B03"/>
    <w:rsid w:val="23651058"/>
    <w:rsid w:val="24DA2B61"/>
    <w:rsid w:val="258E1874"/>
    <w:rsid w:val="2A90491A"/>
    <w:rsid w:val="2C5F50DB"/>
    <w:rsid w:val="30B04157"/>
    <w:rsid w:val="322D17D7"/>
    <w:rsid w:val="33B57CD6"/>
    <w:rsid w:val="352F2583"/>
    <w:rsid w:val="373B6744"/>
    <w:rsid w:val="3A856654"/>
    <w:rsid w:val="3AA54304"/>
    <w:rsid w:val="3BB23479"/>
    <w:rsid w:val="3E650A15"/>
    <w:rsid w:val="40A21AAF"/>
    <w:rsid w:val="41C05CCC"/>
    <w:rsid w:val="435C378C"/>
    <w:rsid w:val="443D58AA"/>
    <w:rsid w:val="4AB47927"/>
    <w:rsid w:val="4D551EB6"/>
    <w:rsid w:val="52093015"/>
    <w:rsid w:val="57862D32"/>
    <w:rsid w:val="58746BB1"/>
    <w:rsid w:val="587647D5"/>
    <w:rsid w:val="5B5F09C3"/>
    <w:rsid w:val="5B8C73EB"/>
    <w:rsid w:val="5C906B8C"/>
    <w:rsid w:val="5DD21301"/>
    <w:rsid w:val="5F7C1524"/>
    <w:rsid w:val="60567D3F"/>
    <w:rsid w:val="632E24E2"/>
    <w:rsid w:val="63E44BC3"/>
    <w:rsid w:val="654D44E4"/>
    <w:rsid w:val="65F4000F"/>
    <w:rsid w:val="687D1EB4"/>
    <w:rsid w:val="68A839E0"/>
    <w:rsid w:val="68EB5F22"/>
    <w:rsid w:val="69747710"/>
    <w:rsid w:val="6ABC5CB7"/>
    <w:rsid w:val="6B5B546B"/>
    <w:rsid w:val="6C7E4E58"/>
    <w:rsid w:val="6CC0704A"/>
    <w:rsid w:val="6D414A1D"/>
    <w:rsid w:val="743B61CE"/>
    <w:rsid w:val="79E265B0"/>
    <w:rsid w:val="7A373ABD"/>
    <w:rsid w:val="7CE34539"/>
    <w:rsid w:val="7D4476CE"/>
    <w:rsid w:val="7E6416AA"/>
    <w:rsid w:val="7FAE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qFormat/>
    <w:uiPriority w:val="0"/>
    <w:pPr>
      <w:jc w:val="left"/>
    </w:p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16">
    <w:name w:val="page number"/>
    <w:basedOn w:val="15"/>
    <w:qFormat/>
    <w:uiPriority w:val="0"/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1495</Words>
  <Characters>1522</Characters>
  <Lines>11</Lines>
  <Paragraphs>3</Paragraphs>
  <TotalTime>0</TotalTime>
  <ScaleCrop>false</ScaleCrop>
  <LinksUpToDate>false</LinksUpToDate>
  <CharactersWithSpaces>1522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2020-02-14T13:23:00Z</dcterms:created>
  <dc:creator>yjsy</dc:creator>
  <cp:lastModifiedBy>雷蕾</cp:lastModifiedBy>
  <dcterms:modified xsi:type="dcterms:W3CDTF">2023-09-11T02:27:50Z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BD7D8E5642224D36B79504C6ADFAD683</vt:lpwstr>
  </property>
</Properties>
</file>